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jc w:val="center"/>
        <w:rPr>
          <w:rFonts w:ascii="Times New Roman" w:hAnsi="Times New Roman" w:eastAsia="小标宋" w:cs="Times New Roman"/>
          <w:color w:val="000000"/>
          <w:sz w:val="36"/>
          <w:szCs w:val="36"/>
        </w:rPr>
      </w:pPr>
      <w:r>
        <w:rPr>
          <w:rFonts w:ascii="Times New Roman" w:hAnsi="小标宋" w:eastAsia="小标宋" w:cs="Times New Roman"/>
          <w:color w:val="000000"/>
          <w:sz w:val="36"/>
          <w:szCs w:val="36"/>
        </w:rPr>
        <w:t>中铁建（北京）物业管理有限公司</w:t>
      </w:r>
    </w:p>
    <w:p>
      <w:pPr>
        <w:pStyle w:val="5"/>
        <w:spacing w:before="0" w:beforeAutospacing="0" w:after="0" w:afterAutospacing="0"/>
        <w:jc w:val="center"/>
        <w:rPr>
          <w:rFonts w:ascii="Times New Roman" w:hAnsi="Times New Roman" w:eastAsia="小标宋" w:cs="Times New Roman"/>
          <w:color w:val="000000"/>
          <w:sz w:val="36"/>
          <w:szCs w:val="36"/>
        </w:rPr>
      </w:pPr>
      <w:r>
        <w:rPr>
          <w:rFonts w:hint="eastAsia" w:ascii="Times New Roman" w:hAnsi="小标宋" w:eastAsia="小标宋" w:cs="Times New Roman"/>
          <w:color w:val="000000"/>
          <w:sz w:val="36"/>
          <w:szCs w:val="36"/>
          <w:lang w:val="en-US" w:eastAsia="zh-CN"/>
        </w:rPr>
        <w:t>财务</w:t>
      </w:r>
      <w:bookmarkStart w:id="14" w:name="_GoBack"/>
      <w:bookmarkEnd w:id="14"/>
      <w:r>
        <w:rPr>
          <w:rFonts w:ascii="Times New Roman" w:hAnsi="小标宋" w:eastAsia="小标宋" w:cs="Times New Roman"/>
          <w:color w:val="000000"/>
          <w:sz w:val="36"/>
          <w:szCs w:val="36"/>
        </w:rPr>
        <w:t>授权审批</w:t>
      </w:r>
      <w:r>
        <w:rPr>
          <w:rFonts w:hint="eastAsia" w:ascii="Times New Roman" w:hAnsi="小标宋" w:eastAsia="小标宋" w:cs="Times New Roman"/>
          <w:color w:val="000000"/>
          <w:sz w:val="36"/>
          <w:szCs w:val="36"/>
          <w:lang w:eastAsia="zh-CN"/>
        </w:rPr>
        <w:t>办法</w:t>
      </w:r>
    </w:p>
    <w:p>
      <w:pPr>
        <w:pStyle w:val="8"/>
        <w:snapToGrid w:val="0"/>
        <w:ind w:left="0" w:leftChars="0" w:firstLine="0" w:firstLineChars="0"/>
        <w:rPr>
          <w:rFonts w:eastAsia="黑体"/>
          <w:b/>
          <w:sz w:val="30"/>
          <w:szCs w:val="30"/>
        </w:rPr>
      </w:pPr>
    </w:p>
    <w:p>
      <w:pPr>
        <w:pStyle w:val="2"/>
        <w:spacing w:before="0" w:after="0" w:line="240" w:lineRule="auto"/>
        <w:jc w:val="center"/>
        <w:rPr>
          <w:rFonts w:eastAsia="黑体"/>
          <w:b w:val="0"/>
          <w:sz w:val="30"/>
          <w:szCs w:val="30"/>
        </w:rPr>
      </w:pPr>
      <w:bookmarkStart w:id="0" w:name="_Toc347497759"/>
      <w:bookmarkStart w:id="1" w:name="_Toc344990252"/>
      <w:bookmarkStart w:id="2" w:name="_Toc349731495"/>
      <w:bookmarkStart w:id="3" w:name="_Toc450896231"/>
      <w:bookmarkStart w:id="4" w:name="_Toc345593883"/>
      <w:bookmarkStart w:id="5" w:name="_Toc344111213"/>
      <w:bookmarkStart w:id="6" w:name="_Toc460244252"/>
      <w:r>
        <w:rPr>
          <w:rFonts w:eastAsia="黑体"/>
          <w:b w:val="0"/>
          <w:bCs w:val="0"/>
          <w:sz w:val="30"/>
          <w:szCs w:val="30"/>
        </w:rPr>
        <w:t>第一</w:t>
      </w:r>
      <w:r>
        <w:rPr>
          <w:rFonts w:eastAsia="黑体"/>
          <w:b w:val="0"/>
          <w:sz w:val="30"/>
          <w:szCs w:val="30"/>
        </w:rPr>
        <w:t>章  总  则</w:t>
      </w:r>
      <w:bookmarkEnd w:id="0"/>
      <w:bookmarkEnd w:id="1"/>
      <w:bookmarkEnd w:id="2"/>
      <w:bookmarkEnd w:id="3"/>
      <w:bookmarkEnd w:id="4"/>
      <w:bookmarkEnd w:id="5"/>
      <w:bookmarkEnd w:id="6"/>
    </w:p>
    <w:p>
      <w:pPr>
        <w:ind w:firstLine="600" w:firstLineChars="200"/>
        <w:rPr>
          <w:rFonts w:ascii="Times New Roman" w:hAnsi="Times New Roman" w:eastAsia="仿宋_GB2312"/>
          <w:sz w:val="30"/>
          <w:szCs w:val="30"/>
        </w:rPr>
      </w:pPr>
      <w:r>
        <w:rPr>
          <w:rFonts w:ascii="Times New Roman" w:hAnsi="Times New Roman" w:eastAsia="仿宋_GB2312"/>
          <w:b/>
          <w:sz w:val="30"/>
          <w:szCs w:val="30"/>
        </w:rPr>
        <w:t xml:space="preserve">第一条 </w:t>
      </w:r>
      <w:r>
        <w:rPr>
          <w:rFonts w:ascii="Times New Roman" w:hAnsi="Times New Roman" w:eastAsia="仿宋_GB2312"/>
          <w:sz w:val="30"/>
          <w:szCs w:val="30"/>
        </w:rPr>
        <w:t>为规范本公司的授权审批行为，加强财务管理，有效建立和完善企业内部控制</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，不断提高公司经营和管理水平，根据《中华人民共和国会计法》、《企业会计准则》，结合本公司的经营特点和管理要求，特制定本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ind w:firstLine="600" w:firstLineChars="200"/>
        <w:rPr>
          <w:rFonts w:ascii="Times New Roman" w:hAnsi="Times New Roman" w:eastAsia="仿宋_GB2312"/>
          <w:sz w:val="30"/>
          <w:szCs w:val="30"/>
        </w:rPr>
      </w:pPr>
      <w:r>
        <w:rPr>
          <w:rFonts w:ascii="Times New Roman" w:hAnsi="Times New Roman" w:eastAsia="仿宋_GB2312"/>
          <w:b/>
          <w:sz w:val="30"/>
          <w:szCs w:val="30"/>
        </w:rPr>
        <w:t xml:space="preserve">第二条 </w:t>
      </w:r>
      <w:r>
        <w:rPr>
          <w:rFonts w:ascii="Times New Roman" w:hAnsi="Times New Roman" w:eastAsia="仿宋_GB2312"/>
          <w:sz w:val="30"/>
          <w:szCs w:val="30"/>
        </w:rPr>
        <w:t>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是公司重要财务管理</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，适用于本公司的财务管理工作，是公司管理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的重要内容之一。</w:t>
      </w:r>
    </w:p>
    <w:p>
      <w:pPr>
        <w:rPr>
          <w:rFonts w:ascii="Times New Roman" w:hAnsi="Times New Roman" w:eastAsia="仿宋_GB2312"/>
          <w:b/>
          <w:sz w:val="30"/>
          <w:szCs w:val="30"/>
        </w:rPr>
      </w:pPr>
      <w:r>
        <w:rPr>
          <w:rFonts w:ascii="Times New Roman" w:hAnsi="Times New Roman" w:eastAsia="仿宋_GB2312"/>
          <w:b/>
          <w:sz w:val="30"/>
          <w:szCs w:val="30"/>
        </w:rPr>
        <w:t xml:space="preserve">    第三条 释义</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中，除非另有说明，下列简称具有如下意义：</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物业公司：中铁建(北京）物业管理有限公司</w:t>
      </w:r>
    </w:p>
    <w:p>
      <w:pPr>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所属单位：中铁建（北京）物业管理有限公司各分公司、项目部。</w:t>
      </w:r>
    </w:p>
    <w:p>
      <w:pPr>
        <w:ind w:firstLine="600" w:firstLineChars="200"/>
        <w:rPr>
          <w:rFonts w:ascii="Times New Roman" w:hAnsi="Times New Roman" w:eastAsia="仿宋_GB2312"/>
          <w:sz w:val="30"/>
          <w:szCs w:val="30"/>
        </w:rPr>
      </w:pPr>
    </w:p>
    <w:p>
      <w:pPr>
        <w:pStyle w:val="2"/>
        <w:spacing w:before="0" w:after="0" w:line="240" w:lineRule="auto"/>
        <w:jc w:val="center"/>
        <w:rPr>
          <w:rFonts w:eastAsia="黑体"/>
          <w:b w:val="0"/>
          <w:bCs w:val="0"/>
          <w:sz w:val="30"/>
          <w:szCs w:val="30"/>
        </w:rPr>
      </w:pPr>
      <w:bookmarkStart w:id="7" w:name="_Toc344990253"/>
      <w:bookmarkStart w:id="8" w:name="_Toc345593884"/>
      <w:bookmarkStart w:id="9" w:name="_Toc450896232"/>
      <w:bookmarkStart w:id="10" w:name="_Toc460244253"/>
      <w:bookmarkStart w:id="11" w:name="_Toc347497760"/>
      <w:bookmarkStart w:id="12" w:name="_Toc349731496"/>
      <w:bookmarkStart w:id="13" w:name="_Toc344111214"/>
      <w:r>
        <w:rPr>
          <w:rFonts w:eastAsia="黑体"/>
          <w:b w:val="0"/>
          <w:bCs w:val="0"/>
          <w:sz w:val="30"/>
          <w:szCs w:val="30"/>
        </w:rPr>
        <w:t>第二章  授权审批管理</w:t>
      </w:r>
      <w:bookmarkEnd w:id="7"/>
      <w:bookmarkEnd w:id="8"/>
      <w:bookmarkEnd w:id="9"/>
      <w:bookmarkEnd w:id="10"/>
      <w:bookmarkEnd w:id="11"/>
      <w:bookmarkEnd w:id="12"/>
      <w:bookmarkEnd w:id="13"/>
    </w:p>
    <w:p>
      <w:pPr>
        <w:numPr>
          <w:ilvl w:val="0"/>
          <w:numId w:val="1"/>
        </w:numPr>
        <w:rPr>
          <w:rFonts w:ascii="Times New Roman" w:hAnsi="Times New Roman" w:eastAsia="仿宋_GB2312"/>
          <w:sz w:val="30"/>
          <w:szCs w:val="30"/>
        </w:rPr>
      </w:pPr>
      <w:r>
        <w:rPr>
          <w:rFonts w:ascii="Times New Roman" w:hAnsi="Times New Roman" w:eastAsia="仿宋_GB2312"/>
          <w:sz w:val="30"/>
          <w:szCs w:val="30"/>
        </w:rPr>
        <w:t>基本规定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（一）根据国家有关法律法规及公司有关规定，制定本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公司的每一项财务支出，须按“审批程序”和“审批权限”的规定，完成财务支出的“签字组合审批”。</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审批程序</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公司总部审批程序是按照职位与权限设置的，不同的业务流程有不同的审批手续。付款审批基本程序为：经办人申请→部门负责人审核→财务部审核→业务分管领导审批→总会计师审批→总经理审批→执行董事审批。具体按照《中铁建(北京）物业管理有限公司财务审批标准化指引表》的规定执行审批程序。</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公司所属各单位要根据不同审批权限执行相应审批流程，具体审批程序为：在分公司审批权限以内的，经办人申请→部门负责人审核→财务部审核→分公司（项目）经理审批；超出审批权限的，经办人申请→部门负责人审核→财务部审核→分公司（项目）经理审批→公司总部相关部门审核→公司总部业务分管领导审批→公司总会计师审批→公司总部总经理审批→执行董事审批。</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签字组合</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（一） 签字组合是指经营业务的每一笔支出，应根据审批程序和审批权限完成全部签字审批。只有完成签字组合且符合公司规定审批权限的业务，出纳员方可付款,否则拒绝付款。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如遇紧急事项，且签字责任人无法书面（含传真件）签批时，在确保资金安全的前提下，可通过电话授权计划财务部门先行办理，待签字责任人返回公司时予以补签。</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审批权限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日常经营性支出的审批（含合约类报批与付款、预算与计划、日常费用等支出）统一按照《中铁建（北京）物业管理有限公司财务审批标准化指引表》的审批权限执行。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经公司总部审批的经济合同金额在年度预算内的，在实际付款时按分公司、项目的付款审批流程办理付款，可不再上报公司总部审批。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捐赠、赞助性、罚款、违约金等非常规性现金支出的审批权限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公司在经营中应尽量避免发生罚款、违约金等非常规支出。如果在尽最大努力的前提下仍然无法避免该项支出，所属各单位应积极采取有效的办法，将该项支出降至最低，并按审批权限的规定逐级上报。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资产处置损失的审批权限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所有资产的盘亏、盘盈、报废损益，执行比较严格的审批权限，以提高资产的使用率与资产收益率。 </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当事人的责任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经办人是第一责任人，负全部责任；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部门经理（项目负责人）主要负责真实性审核；</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（三） 业务分管副总主要负责项目合理性审核；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财务负责原始单据、预算指标和资金计划审核；</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单位负责人或单位负责人授权审批是款项支付的必要条件；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（六） 出纳对审批流程的完整性和</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执行的合理性负有最终监督职能。</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其它相关规定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公司对外签订的经济合同，是计划财务部门审核开支的重要依据，合同签订部门应及时向计划财务部提供经济合同原件，以便于计划财务部门统筹资金和及时付款，计划财务部门要作为会计档案分类保管，同时建立合同台账适时跟踪执行情况。</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凡属于公司向外支付款项的经济合同，在加盖公章生效前，必须完成经济合同规定的审批程序。</w:t>
      </w:r>
    </w:p>
    <w:p>
      <w:pPr>
        <w:numPr>
          <w:ilvl w:val="0"/>
          <w:numId w:val="1"/>
        </w:numPr>
        <w:rPr>
          <w:rFonts w:ascii="Times New Roman" w:hAnsi="Times New Roman" w:eastAsia="仿宋_GB2312"/>
          <w:sz w:val="30"/>
          <w:szCs w:val="30"/>
        </w:rPr>
      </w:pPr>
      <w:r>
        <w:rPr>
          <w:rFonts w:ascii="Times New Roman" w:hAnsi="Times New Roman" w:eastAsia="仿宋_GB2312"/>
          <w:sz w:val="30"/>
          <w:szCs w:val="30"/>
        </w:rPr>
        <w:t>附则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由计划财务部负责解释。</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自颁发之日起生效。</w:t>
      </w:r>
    </w:p>
    <w:p>
      <w:pPr>
        <w:rPr>
          <w:rFonts w:ascii="Times New Roman" w:hAnsi="Times New Roman" w:eastAsia="仿宋_GB2312"/>
          <w:sz w:val="30"/>
          <w:szCs w:val="30"/>
        </w:rPr>
        <w:sectPr>
          <w:headerReference r:id="rId3" w:type="default"/>
          <w:footerReference r:id="rId5" w:type="default"/>
          <w:headerReference r:id="rId4" w:type="even"/>
          <w:footerReference r:id="rId6" w:type="even"/>
          <w:pgSz w:w="11906" w:h="16838"/>
          <w:pgMar w:top="1440" w:right="1418" w:bottom="1440" w:left="1418" w:header="471" w:footer="499" w:gutter="0"/>
          <w:cols w:space="720" w:num="1"/>
          <w:docGrid w:type="lines" w:linePitch="312" w:charSpace="0"/>
        </w:sectPr>
      </w:pPr>
    </w:p>
    <w:tbl>
      <w:tblPr>
        <w:tblStyle w:val="7"/>
        <w:tblW w:w="14583" w:type="dxa"/>
        <w:tblInd w:w="93" w:type="dxa"/>
        <w:tblLayout w:type="fixed"/>
        <w:tblCellMar>
          <w:top w:w="0" w:type="dxa"/>
          <w:left w:w="108" w:type="dxa"/>
          <w:bottom w:w="0" w:type="dxa"/>
          <w:right w:w="108" w:type="dxa"/>
        </w:tblCellMar>
      </w:tblPr>
      <w:tblGrid>
        <w:gridCol w:w="1080"/>
        <w:gridCol w:w="1080"/>
        <w:gridCol w:w="1225"/>
        <w:gridCol w:w="1134"/>
        <w:gridCol w:w="992"/>
        <w:gridCol w:w="1560"/>
        <w:gridCol w:w="1134"/>
        <w:gridCol w:w="992"/>
        <w:gridCol w:w="992"/>
        <w:gridCol w:w="992"/>
        <w:gridCol w:w="851"/>
        <w:gridCol w:w="850"/>
        <w:gridCol w:w="851"/>
        <w:gridCol w:w="850"/>
      </w:tblGrid>
      <w:tr>
        <w:tblPrEx>
          <w:tblLayout w:type="fixed"/>
          <w:tblCellMar>
            <w:top w:w="0" w:type="dxa"/>
            <w:left w:w="108" w:type="dxa"/>
            <w:bottom w:w="0" w:type="dxa"/>
            <w:right w:w="108" w:type="dxa"/>
          </w:tblCellMar>
        </w:tblPrEx>
        <w:trPr>
          <w:trHeight w:val="390" w:hRule="atLeast"/>
          <w:tblHeader/>
        </w:trPr>
        <w:tc>
          <w:tcPr>
            <w:tcW w:w="14583" w:type="dxa"/>
            <w:gridSpan w:val="14"/>
            <w:tcBorders>
              <w:top w:val="nil"/>
              <w:left w:val="nil"/>
              <w:bottom w:val="single" w:color="auto" w:sz="8" w:space="0"/>
              <w:right w:val="nil"/>
            </w:tcBorders>
            <w:vAlign w:val="center"/>
          </w:tcPr>
          <w:p>
            <w:pPr>
              <w:jc w:val="center"/>
              <w:rPr>
                <w:rFonts w:ascii="Times New Roman" w:hAnsi="Times New Roman"/>
                <w:b/>
                <w:bCs/>
                <w:color w:val="000000"/>
                <w:sz w:val="30"/>
                <w:szCs w:val="30"/>
              </w:rPr>
            </w:pPr>
            <w:r>
              <w:rPr>
                <w:rFonts w:ascii="Times New Roman" w:hAnsi="宋体"/>
                <w:b/>
                <w:bCs/>
                <w:color w:val="000000"/>
                <w:sz w:val="30"/>
                <w:szCs w:val="30"/>
              </w:rPr>
              <w:t>中铁建（北京）物业管理有限公司财务审批标准化指引表</w:t>
            </w:r>
          </w:p>
        </w:tc>
      </w:tr>
      <w:tr>
        <w:tblPrEx>
          <w:tblLayout w:type="fixed"/>
          <w:tblCellMar>
            <w:top w:w="0" w:type="dxa"/>
            <w:left w:w="108" w:type="dxa"/>
            <w:bottom w:w="0" w:type="dxa"/>
            <w:right w:w="108" w:type="dxa"/>
          </w:tblCellMar>
        </w:tblPrEx>
        <w:trPr>
          <w:trHeight w:val="285" w:hRule="atLeast"/>
          <w:tblHeader/>
        </w:trPr>
        <w:tc>
          <w:tcPr>
            <w:tcW w:w="1080" w:type="dxa"/>
            <w:vMerge w:val="restart"/>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分类</w:t>
            </w:r>
          </w:p>
        </w:tc>
        <w:tc>
          <w:tcPr>
            <w:tcW w:w="1080" w:type="dxa"/>
            <w:vMerge w:val="restart"/>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项目内容</w:t>
            </w:r>
          </w:p>
        </w:tc>
        <w:tc>
          <w:tcPr>
            <w:tcW w:w="1225" w:type="dxa"/>
            <w:vMerge w:val="restart"/>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项目说明</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审批环节</w:t>
            </w:r>
          </w:p>
        </w:tc>
        <w:tc>
          <w:tcPr>
            <w:tcW w:w="992"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适用范围</w:t>
            </w:r>
          </w:p>
        </w:tc>
        <w:tc>
          <w:tcPr>
            <w:tcW w:w="156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金额要求</w:t>
            </w:r>
          </w:p>
        </w:tc>
        <w:tc>
          <w:tcPr>
            <w:tcW w:w="1134" w:type="dxa"/>
            <w:vMerge w:val="restart"/>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责任部门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申报</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复核</w:t>
            </w:r>
            <w:r>
              <w:rPr>
                <w:rFonts w:ascii="Times New Roman" w:hAnsi="Times New Roman"/>
                <w:b/>
                <w:bCs/>
                <w:color w:val="000000"/>
                <w:sz w:val="18"/>
                <w:szCs w:val="18"/>
              </w:rPr>
              <w:t>1</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复核</w:t>
            </w:r>
            <w:r>
              <w:rPr>
                <w:rFonts w:ascii="Times New Roman" w:hAnsi="Times New Roman"/>
                <w:b/>
                <w:bCs/>
                <w:color w:val="000000"/>
                <w:sz w:val="18"/>
                <w:szCs w:val="18"/>
              </w:rPr>
              <w:t>2</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审批</w:t>
            </w:r>
            <w:r>
              <w:rPr>
                <w:rFonts w:ascii="Times New Roman" w:hAnsi="Times New Roman"/>
                <w:b/>
                <w:bCs/>
                <w:color w:val="000000"/>
                <w:sz w:val="18"/>
                <w:szCs w:val="18"/>
              </w:rPr>
              <w:t>1</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审批</w:t>
            </w:r>
            <w:r>
              <w:rPr>
                <w:rFonts w:ascii="Times New Roman" w:hAnsi="Times New Roman"/>
                <w:b/>
                <w:bCs/>
                <w:color w:val="000000"/>
                <w:sz w:val="18"/>
                <w:szCs w:val="18"/>
              </w:rPr>
              <w:t>2</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审批</w:t>
            </w:r>
            <w:r>
              <w:rPr>
                <w:rFonts w:ascii="Times New Roman" w:hAnsi="Times New Roman"/>
                <w:b/>
                <w:bCs/>
                <w:color w:val="000000"/>
                <w:sz w:val="18"/>
                <w:szCs w:val="18"/>
              </w:rPr>
              <w:t>3</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审批</w:t>
            </w:r>
            <w:r>
              <w:rPr>
                <w:rFonts w:ascii="Times New Roman" w:hAnsi="Times New Roman"/>
                <w:b/>
                <w:bCs/>
                <w:color w:val="000000"/>
                <w:sz w:val="18"/>
                <w:szCs w:val="18"/>
              </w:rPr>
              <w:t>4</w:t>
            </w:r>
          </w:p>
        </w:tc>
      </w:tr>
      <w:tr>
        <w:tblPrEx>
          <w:tblLayout w:type="fixed"/>
          <w:tblCellMar>
            <w:top w:w="0" w:type="dxa"/>
            <w:left w:w="108" w:type="dxa"/>
            <w:bottom w:w="0" w:type="dxa"/>
            <w:right w:w="108" w:type="dxa"/>
          </w:tblCellMar>
        </w:tblPrEx>
        <w:trPr>
          <w:trHeight w:val="465" w:hRule="atLeast"/>
          <w:tblHeader/>
        </w:trPr>
        <w:tc>
          <w:tcPr>
            <w:tcW w:w="1080" w:type="dxa"/>
            <w:vMerge w:val="continue"/>
            <w:tcBorders>
              <w:top w:val="nil"/>
              <w:left w:val="single" w:color="auto" w:sz="8" w:space="0"/>
              <w:bottom w:val="nil"/>
              <w:right w:val="single" w:color="auto" w:sz="8" w:space="0"/>
            </w:tcBorders>
            <w:vAlign w:val="center"/>
          </w:tcPr>
          <w:p>
            <w:pPr>
              <w:rPr>
                <w:rFonts w:ascii="Times New Roman" w:hAnsi="Times New Roman"/>
                <w:color w:val="000000"/>
                <w:sz w:val="18"/>
                <w:szCs w:val="18"/>
              </w:rPr>
            </w:pPr>
          </w:p>
        </w:tc>
        <w:tc>
          <w:tcPr>
            <w:tcW w:w="1080" w:type="dxa"/>
            <w:vMerge w:val="continue"/>
            <w:tcBorders>
              <w:top w:val="nil"/>
              <w:left w:val="single" w:color="auto" w:sz="8" w:space="0"/>
              <w:bottom w:val="nil"/>
              <w:right w:val="single" w:color="auto" w:sz="8" w:space="0"/>
            </w:tcBorders>
            <w:vAlign w:val="center"/>
          </w:tcPr>
          <w:p>
            <w:pPr>
              <w:rPr>
                <w:rFonts w:ascii="Times New Roman" w:hAnsi="Times New Roman"/>
                <w:color w:val="000000"/>
                <w:sz w:val="18"/>
                <w:szCs w:val="18"/>
              </w:rPr>
            </w:pPr>
          </w:p>
        </w:tc>
        <w:tc>
          <w:tcPr>
            <w:tcW w:w="1225" w:type="dxa"/>
            <w:vMerge w:val="continue"/>
            <w:tcBorders>
              <w:top w:val="nil"/>
              <w:left w:val="single" w:color="auto" w:sz="8" w:space="0"/>
              <w:bottom w:val="nil"/>
              <w:right w:val="single" w:color="auto" w:sz="8" w:space="0"/>
            </w:tcBorders>
            <w:vAlign w:val="center"/>
          </w:tcPr>
          <w:p>
            <w:pPr>
              <w:rPr>
                <w:rFonts w:ascii="Times New Roman" w:hAnsi="Times New Roman"/>
                <w:color w:val="000000"/>
                <w:sz w:val="18"/>
                <w:szCs w:val="18"/>
              </w:rPr>
            </w:pP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56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134" w:type="dxa"/>
            <w:vMerge w:val="continue"/>
            <w:tcBorders>
              <w:top w:val="nil"/>
              <w:left w:val="single" w:color="auto" w:sz="8" w:space="0"/>
              <w:bottom w:val="nil"/>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经办人</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部门负责人</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财务负责人</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业务分管领导</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总会计师</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总经理</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执行董事</w:t>
            </w:r>
          </w:p>
        </w:tc>
      </w:tr>
      <w:tr>
        <w:tblPrEx>
          <w:tblLayout w:type="fixed"/>
          <w:tblCellMar>
            <w:top w:w="0" w:type="dxa"/>
            <w:left w:w="108" w:type="dxa"/>
            <w:bottom w:w="0" w:type="dxa"/>
            <w:right w:w="108" w:type="dxa"/>
          </w:tblCellMar>
        </w:tblPrEx>
        <w:trPr>
          <w:trHeight w:val="465" w:hRule="atLeast"/>
        </w:trPr>
        <w:tc>
          <w:tcPr>
            <w:tcW w:w="1080" w:type="dxa"/>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第一条付款审批</w:t>
            </w:r>
          </w:p>
        </w:tc>
        <w:tc>
          <w:tcPr>
            <w:tcW w:w="1080" w:type="dxa"/>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合同款</w:t>
            </w:r>
          </w:p>
        </w:tc>
        <w:tc>
          <w:tcPr>
            <w:tcW w:w="1225" w:type="dxa"/>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总部付款审批</w:t>
            </w:r>
          </w:p>
        </w:tc>
        <w:tc>
          <w:tcPr>
            <w:tcW w:w="992"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nil"/>
              <w:left w:val="nil"/>
              <w:bottom w:val="nil"/>
              <w:right w:val="single" w:color="auto" w:sz="8" w:space="0"/>
            </w:tcBorders>
            <w:vAlign w:val="center"/>
          </w:tcPr>
          <w:p>
            <w:pPr>
              <w:jc w:val="center"/>
              <w:rPr>
                <w:rFonts w:ascii="Times New Roman" w:hAnsi="Times New Roman"/>
                <w:color w:val="000000"/>
                <w:sz w:val="18"/>
                <w:szCs w:val="18"/>
              </w:rPr>
            </w:pPr>
          </w:p>
        </w:tc>
        <w:tc>
          <w:tcPr>
            <w:tcW w:w="1134" w:type="dxa"/>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财务部、各职能部门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highlight w:val="yellow"/>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highlight w:val="yellow"/>
              </w:rPr>
            </w:pPr>
          </w:p>
        </w:tc>
      </w:tr>
      <w:tr>
        <w:tblPrEx>
          <w:tblLayout w:type="fixed"/>
          <w:tblCellMar>
            <w:top w:w="0" w:type="dxa"/>
            <w:left w:w="108" w:type="dxa"/>
            <w:bottom w:w="0" w:type="dxa"/>
            <w:right w:w="108" w:type="dxa"/>
          </w:tblCellMar>
        </w:tblPrEx>
        <w:trPr>
          <w:trHeight w:val="465" w:hRule="atLeast"/>
        </w:trPr>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第二条预算类</w:t>
            </w:r>
          </w:p>
        </w:tc>
        <w:tc>
          <w:tcPr>
            <w:tcW w:w="1080" w:type="dxa"/>
            <w:vMerge w:val="restart"/>
            <w:tcBorders>
              <w:top w:val="nil"/>
              <w:left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全面预算</w:t>
            </w:r>
          </w:p>
          <w:p>
            <w:pPr>
              <w:jc w:val="center"/>
              <w:rPr>
                <w:rFonts w:ascii="Times New Roman" w:hAnsi="Times New Roman"/>
                <w:color w:val="000000"/>
                <w:sz w:val="18"/>
                <w:szCs w:val="18"/>
              </w:rPr>
            </w:pP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全面预算的审核批复</w:t>
            </w:r>
            <w:r>
              <w:rPr>
                <w:rFonts w:ascii="Times New Roman" w:hAnsi="Times New Roman"/>
                <w:color w:val="000000"/>
                <w:sz w:val="18"/>
                <w:szCs w:val="18"/>
              </w:rPr>
              <w:t xml:space="preserve"> </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全面预算报表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全公司</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财务部、各职能部门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r>
      <w:tr>
        <w:tblPrEx>
          <w:tblLayout w:type="fixed"/>
          <w:tblCellMar>
            <w:top w:w="0" w:type="dxa"/>
            <w:left w:w="108" w:type="dxa"/>
            <w:bottom w:w="0" w:type="dxa"/>
            <w:right w:w="108" w:type="dxa"/>
          </w:tblCellMar>
        </w:tblPrEx>
        <w:trPr>
          <w:trHeight w:val="37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continue"/>
            <w:tcBorders>
              <w:left w:val="single" w:color="auto" w:sz="8" w:space="0"/>
              <w:right w:val="single" w:color="auto" w:sz="8" w:space="0"/>
            </w:tcBorders>
            <w:vAlign w:val="center"/>
          </w:tcPr>
          <w:p>
            <w:pPr>
              <w:jc w:val="center"/>
              <w:rPr>
                <w:rFonts w:ascii="Times New Roman" w:hAnsi="Times New Roman"/>
                <w:color w:val="000000"/>
                <w:sz w:val="18"/>
                <w:szCs w:val="18"/>
              </w:rPr>
            </w:pPr>
          </w:p>
        </w:tc>
        <w:tc>
          <w:tcPr>
            <w:tcW w:w="1225"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预算执行</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预算执行</w:t>
            </w:r>
          </w:p>
        </w:tc>
        <w:tc>
          <w:tcPr>
            <w:tcW w:w="992"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全公司</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预算外支出</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r>
      <w:tr>
        <w:tblPrEx>
          <w:tblLayout w:type="fixed"/>
          <w:tblCellMar>
            <w:top w:w="0" w:type="dxa"/>
            <w:left w:w="108" w:type="dxa"/>
            <w:bottom w:w="0" w:type="dxa"/>
            <w:right w:w="108" w:type="dxa"/>
          </w:tblCellMar>
        </w:tblPrEx>
        <w:trPr>
          <w:trHeight w:val="375" w:hRule="atLeast"/>
        </w:trPr>
        <w:tc>
          <w:tcPr>
            <w:tcW w:w="1080"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1080" w:type="dxa"/>
            <w:vMerge w:val="continue"/>
            <w:tcBorders>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1225"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1134"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992"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156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000000"/>
                <w:sz w:val="18"/>
                <w:szCs w:val="18"/>
              </w:rPr>
            </w:pPr>
            <w:r>
              <w:rPr>
                <w:rFonts w:ascii="Times New Roman" w:hAnsi="宋体"/>
                <w:color w:val="000000"/>
                <w:sz w:val="18"/>
                <w:szCs w:val="18"/>
              </w:rPr>
              <w:t>预算内支出</w:t>
            </w:r>
          </w:p>
        </w:tc>
        <w:tc>
          <w:tcPr>
            <w:tcW w:w="1134"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shd w:val="clear" w:color="000000" w:fill="FFFFFF"/>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shd w:val="clear" w:color="000000" w:fill="FFFFFF"/>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816" w:hRule="atLeast"/>
        </w:trPr>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b/>
                <w:color w:val="000000"/>
                <w:sz w:val="18"/>
                <w:szCs w:val="18"/>
              </w:rPr>
              <w:t>第三条</w:t>
            </w:r>
            <w:r>
              <w:rPr>
                <w:rFonts w:ascii="Times New Roman" w:hAnsi="宋体"/>
                <w:color w:val="000000"/>
                <w:sz w:val="18"/>
                <w:szCs w:val="18"/>
              </w:rPr>
              <w:t>投资类</w:t>
            </w:r>
          </w:p>
        </w:tc>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固定资产购置、处置</w:t>
            </w:r>
          </w:p>
        </w:tc>
        <w:tc>
          <w:tcPr>
            <w:tcW w:w="1225"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各项固定资产购置按预算执行外，还要上报购置申请，固定资产处置要上报申请</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固定资产处置</w:t>
            </w:r>
          </w:p>
        </w:tc>
        <w:tc>
          <w:tcPr>
            <w:tcW w:w="992"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全公司</w:t>
            </w:r>
          </w:p>
        </w:tc>
        <w:tc>
          <w:tcPr>
            <w:tcW w:w="1560" w:type="dxa"/>
            <w:vMerge w:val="restart"/>
            <w:tcBorders>
              <w:top w:val="nil"/>
              <w:left w:val="nil"/>
              <w:right w:val="single" w:color="auto" w:sz="8" w:space="0"/>
            </w:tcBorders>
            <w:vAlign w:val="center"/>
          </w:tcPr>
          <w:p>
            <w:pPr>
              <w:jc w:val="center"/>
              <w:rPr>
                <w:rFonts w:ascii="Times New Roman" w:hAnsi="Times New Roman"/>
                <w:color w:val="000000"/>
                <w:sz w:val="18"/>
                <w:szCs w:val="18"/>
              </w:rPr>
            </w:pP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党群综合部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37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225"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560" w:type="dxa"/>
            <w:vMerge w:val="continue"/>
            <w:tcBorders>
              <w:left w:val="nil"/>
              <w:bottom w:val="single" w:color="auto" w:sz="8" w:space="0"/>
              <w:right w:val="single" w:color="auto" w:sz="8" w:space="0"/>
            </w:tcBorders>
            <w:vAlign w:val="center"/>
          </w:tcPr>
          <w:p>
            <w:pPr>
              <w:jc w:val="center"/>
              <w:rPr>
                <w:rFonts w:ascii="Times New Roman" w:hAnsi="Times New Roman"/>
                <w:color w:val="000000"/>
                <w:sz w:val="18"/>
                <w:szCs w:val="18"/>
              </w:rPr>
            </w:pP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513"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捐赠赞助</w:t>
            </w:r>
          </w:p>
        </w:tc>
        <w:tc>
          <w:tcPr>
            <w:tcW w:w="1225"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捐赠赞助</w:t>
            </w: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捐赠赞助</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全公司</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党群综合部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r>
      <w:tr>
        <w:tblPrEx>
          <w:tblLayout w:type="fixed"/>
          <w:tblCellMar>
            <w:top w:w="0" w:type="dxa"/>
            <w:left w:w="108" w:type="dxa"/>
            <w:bottom w:w="0" w:type="dxa"/>
            <w:right w:w="108" w:type="dxa"/>
          </w:tblCellMar>
        </w:tblPrEx>
        <w:trPr>
          <w:trHeight w:val="495" w:hRule="atLeast"/>
        </w:trPr>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p>
          <w:p>
            <w:pPr>
              <w:jc w:val="center"/>
              <w:rPr>
                <w:rFonts w:ascii="Times New Roman" w:hAnsi="Times New Roman"/>
                <w:color w:val="000000"/>
                <w:sz w:val="18"/>
                <w:szCs w:val="18"/>
              </w:rPr>
            </w:pPr>
            <w:r>
              <w:rPr>
                <w:rFonts w:ascii="Times New Roman" w:hAnsi="宋体"/>
                <w:color w:val="000000"/>
                <w:sz w:val="18"/>
                <w:szCs w:val="18"/>
              </w:rPr>
              <w:t>第四条筹资类</w:t>
            </w:r>
          </w:p>
        </w:tc>
        <w:tc>
          <w:tcPr>
            <w:tcW w:w="108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融资</w:t>
            </w: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债权、股权性融资</w:t>
            </w:r>
          </w:p>
        </w:tc>
        <w:tc>
          <w:tcPr>
            <w:tcW w:w="1134" w:type="dxa"/>
            <w:tcBorders>
              <w:top w:val="nil"/>
              <w:left w:val="nil"/>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融资计划、方案</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总部</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r>
      <w:tr>
        <w:tblPrEx>
          <w:tblLayout w:type="fixed"/>
          <w:tblCellMar>
            <w:top w:w="0" w:type="dxa"/>
            <w:left w:w="108" w:type="dxa"/>
            <w:bottom w:w="0" w:type="dxa"/>
            <w:right w:w="108" w:type="dxa"/>
          </w:tblCellMar>
        </w:tblPrEx>
        <w:trPr>
          <w:trHeight w:val="145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还款</w:t>
            </w: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还集团公司及集团内部其他公司借款本金及利息</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付款</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495" w:hRule="atLeast"/>
        </w:trPr>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五、往来类</w:t>
            </w:r>
          </w:p>
        </w:tc>
        <w:tc>
          <w:tcPr>
            <w:tcW w:w="108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提</w:t>
            </w:r>
            <w:r>
              <w:rPr>
                <w:rFonts w:ascii="Times New Roman" w:hAnsi="Times New Roman"/>
                <w:color w:val="000000"/>
                <w:sz w:val="18"/>
                <w:szCs w:val="18"/>
              </w:rPr>
              <w:t xml:space="preserve"> </w:t>
            </w:r>
            <w:r>
              <w:rPr>
                <w:rFonts w:ascii="Times New Roman" w:hAnsi="宋体"/>
                <w:color w:val="000000"/>
                <w:sz w:val="18"/>
                <w:szCs w:val="18"/>
              </w:rPr>
              <w:t>现</w:t>
            </w: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银行提现申请</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　</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52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资金互转</w:t>
            </w: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公司间往来</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财务付款审批</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　</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225"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公司内部帐户间往来</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账户转账申请</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总部</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46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公务借款</w:t>
            </w:r>
          </w:p>
        </w:tc>
        <w:tc>
          <w:tcPr>
            <w:tcW w:w="1225"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备用金</w:t>
            </w: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借款审批</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　</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各职能部门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690" w:hRule="atLeast"/>
        </w:trPr>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六、费用类</w:t>
            </w:r>
          </w:p>
        </w:tc>
        <w:tc>
          <w:tcPr>
            <w:tcW w:w="1080"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日常经营性费用</w:t>
            </w:r>
          </w:p>
        </w:tc>
        <w:tc>
          <w:tcPr>
            <w:tcW w:w="1225"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如：差旅费、招待费、办公费、通讯费等日常费用</w:t>
            </w: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付款审批</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　</w:t>
            </w:r>
          </w:p>
        </w:tc>
        <w:tc>
          <w:tcPr>
            <w:tcW w:w="1560" w:type="dxa"/>
            <w:tcBorders>
              <w:top w:val="nil"/>
              <w:left w:val="nil"/>
              <w:bottom w:val="single" w:color="auto" w:sz="4" w:space="0"/>
              <w:right w:val="single" w:color="auto" w:sz="8" w:space="0"/>
            </w:tcBorders>
            <w:vAlign w:val="center"/>
          </w:tcPr>
          <w:p>
            <w:pPr>
              <w:jc w:val="center"/>
              <w:rPr>
                <w:rFonts w:ascii="Times New Roman" w:hAnsi="Times New Roman"/>
                <w:color w:val="000000"/>
                <w:sz w:val="18"/>
                <w:szCs w:val="18"/>
              </w:rPr>
            </w:pPr>
          </w:p>
        </w:tc>
        <w:tc>
          <w:tcPr>
            <w:tcW w:w="1134" w:type="dxa"/>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各职能部门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840"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工资、福利、奖金、社保等性质的支出</w:t>
            </w:r>
          </w:p>
        </w:tc>
        <w:tc>
          <w:tcPr>
            <w:tcW w:w="1225"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为职工支付的所有支出，如：工资、奖金、福利等</w:t>
            </w:r>
          </w:p>
        </w:tc>
        <w:tc>
          <w:tcPr>
            <w:tcW w:w="1134" w:type="dxa"/>
            <w:vMerge w:val="restart"/>
            <w:tcBorders>
              <w:top w:val="nil"/>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工资表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single" w:color="auto" w:sz="4" w:space="0"/>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人事部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375" w:hRule="atLeast"/>
        </w:trPr>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225"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134" w:type="dxa"/>
            <w:vMerge w:val="continue"/>
            <w:tcBorders>
              <w:top w:val="nil"/>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highlight w:val="yellow"/>
              </w:rPr>
            </w:pPr>
            <w:r>
              <w:rPr>
                <w:rFonts w:ascii="Times New Roman" w:hAnsi="宋体"/>
                <w:b/>
                <w:bCs/>
                <w:color w:val="000000"/>
                <w:sz w:val="18"/>
                <w:szCs w:val="18"/>
              </w:rPr>
              <w:t>　</w:t>
            </w:r>
          </w:p>
        </w:tc>
      </w:tr>
      <w:tr>
        <w:tblPrEx>
          <w:tblLayout w:type="fixed"/>
          <w:tblCellMar>
            <w:top w:w="0" w:type="dxa"/>
            <w:left w:w="108" w:type="dxa"/>
            <w:bottom w:w="0" w:type="dxa"/>
            <w:right w:w="108" w:type="dxa"/>
          </w:tblCellMar>
        </w:tblPrEx>
        <w:trPr>
          <w:trHeight w:val="690" w:hRule="atLeast"/>
        </w:trPr>
        <w:tc>
          <w:tcPr>
            <w:tcW w:w="1080" w:type="dxa"/>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七、损失类</w:t>
            </w:r>
          </w:p>
        </w:tc>
        <w:tc>
          <w:tcPr>
            <w:tcW w:w="1080" w:type="dxa"/>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资产处置损失</w:t>
            </w:r>
          </w:p>
        </w:tc>
        <w:tc>
          <w:tcPr>
            <w:tcW w:w="1225" w:type="dxa"/>
            <w:tcBorders>
              <w:top w:val="nil"/>
              <w:left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非正常资产处置损失</w:t>
            </w:r>
            <w:r>
              <w:rPr>
                <w:rFonts w:ascii="Times New Roman" w:hAnsi="Times New Roman"/>
                <w:color w:val="000000"/>
                <w:sz w:val="18"/>
                <w:szCs w:val="18"/>
              </w:rPr>
              <w:t xml:space="preserve"> </w:t>
            </w:r>
          </w:p>
        </w:tc>
        <w:tc>
          <w:tcPr>
            <w:tcW w:w="1134" w:type="dxa"/>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申请单、处置说明及证据资料</w:t>
            </w:r>
          </w:p>
        </w:tc>
        <w:tc>
          <w:tcPr>
            <w:tcW w:w="992" w:type="dxa"/>
            <w:tcBorders>
              <w:top w:val="nil"/>
              <w:left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p>
            <w:pPr>
              <w:jc w:val="center"/>
              <w:rPr>
                <w:rFonts w:ascii="Times New Roman" w:hAnsi="Times New Roman"/>
                <w:color w:val="000000"/>
                <w:sz w:val="18"/>
                <w:szCs w:val="18"/>
              </w:rPr>
            </w:pPr>
            <w:r>
              <w:rPr>
                <w:rFonts w:ascii="Times New Roman" w:hAnsi="宋体"/>
                <w:color w:val="000000"/>
                <w:sz w:val="18"/>
                <w:szCs w:val="18"/>
              </w:rPr>
              <w:t>发生与处理　</w:t>
            </w:r>
          </w:p>
        </w:tc>
        <w:tc>
          <w:tcPr>
            <w:tcW w:w="1560"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资产损失超过</w:t>
            </w:r>
            <w:r>
              <w:rPr>
                <w:rFonts w:ascii="Times New Roman" w:hAnsi="Times New Roman"/>
                <w:color w:val="000000"/>
                <w:sz w:val="18"/>
                <w:szCs w:val="18"/>
              </w:rPr>
              <w:t>5000</w:t>
            </w:r>
            <w:r>
              <w:rPr>
                <w:rFonts w:ascii="Times New Roman" w:hAnsi="宋体"/>
                <w:color w:val="000000"/>
                <w:sz w:val="18"/>
                <w:szCs w:val="18"/>
              </w:rPr>
              <w:t>元以上的（含</w:t>
            </w:r>
            <w:r>
              <w:rPr>
                <w:rFonts w:ascii="Times New Roman" w:hAnsi="Times New Roman"/>
                <w:color w:val="000000"/>
                <w:sz w:val="18"/>
                <w:szCs w:val="18"/>
              </w:rPr>
              <w:t>5000</w:t>
            </w:r>
            <w:r>
              <w:rPr>
                <w:rFonts w:ascii="Times New Roman" w:hAnsi="宋体"/>
                <w:color w:val="000000"/>
                <w:sz w:val="18"/>
                <w:szCs w:val="18"/>
              </w:rPr>
              <w:t>元）</w:t>
            </w:r>
            <w:r>
              <w:rPr>
                <w:rFonts w:ascii="Times New Roman" w:hAnsi="Times New Roman"/>
                <w:color w:val="000000"/>
                <w:sz w:val="18"/>
                <w:szCs w:val="18"/>
              </w:rPr>
              <w:t xml:space="preserve"> </w:t>
            </w:r>
          </w:p>
        </w:tc>
        <w:tc>
          <w:tcPr>
            <w:tcW w:w="1134" w:type="dxa"/>
            <w:tcBorders>
              <w:top w:val="nil"/>
              <w:left w:val="single" w:color="auto" w:sz="8" w:space="0"/>
              <w:bottom w:val="nil"/>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各职能部门</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p>
        </w:tc>
      </w:tr>
      <w:tr>
        <w:tblPrEx>
          <w:tblLayout w:type="fixed"/>
          <w:tblCellMar>
            <w:top w:w="0" w:type="dxa"/>
            <w:left w:w="108" w:type="dxa"/>
            <w:bottom w:w="0" w:type="dxa"/>
            <w:right w:w="108" w:type="dxa"/>
          </w:tblCellMar>
        </w:tblPrEx>
        <w:trPr>
          <w:trHeight w:val="465" w:hRule="atLeast"/>
        </w:trPr>
        <w:tc>
          <w:tcPr>
            <w:tcW w:w="1080"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八、利润分配</w:t>
            </w:r>
          </w:p>
        </w:tc>
        <w:tc>
          <w:tcPr>
            <w:tcW w:w="1080"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股东分红</w:t>
            </w:r>
          </w:p>
        </w:tc>
        <w:tc>
          <w:tcPr>
            <w:tcW w:w="1225"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股东的各种形式的分红</w:t>
            </w:r>
          </w:p>
        </w:tc>
        <w:tc>
          <w:tcPr>
            <w:tcW w:w="1134" w:type="dxa"/>
            <w:tcBorders>
              <w:top w:val="single" w:color="auto" w:sz="8" w:space="0"/>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股东会决议</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　</w:t>
            </w:r>
          </w:p>
        </w:tc>
        <w:tc>
          <w:tcPr>
            <w:tcW w:w="1134"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财务部</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r>
      <w:tr>
        <w:tblPrEx>
          <w:tblLayout w:type="fixed"/>
          <w:tblCellMar>
            <w:top w:w="0" w:type="dxa"/>
            <w:left w:w="108" w:type="dxa"/>
            <w:bottom w:w="0" w:type="dxa"/>
            <w:right w:w="108" w:type="dxa"/>
          </w:tblCellMar>
        </w:tblPrEx>
        <w:trPr>
          <w:trHeight w:val="435" w:hRule="atLeast"/>
        </w:trPr>
        <w:tc>
          <w:tcPr>
            <w:tcW w:w="1080" w:type="dxa"/>
            <w:vMerge w:val="continue"/>
            <w:tcBorders>
              <w:top w:val="single" w:color="auto" w:sz="8" w:space="0"/>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080" w:type="dxa"/>
            <w:vMerge w:val="continue"/>
            <w:tcBorders>
              <w:top w:val="single" w:color="auto" w:sz="8" w:space="0"/>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225" w:type="dxa"/>
            <w:vMerge w:val="continue"/>
            <w:tcBorders>
              <w:top w:val="single" w:color="auto" w:sz="8" w:space="0"/>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1134"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付款审批</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color w:val="000000"/>
                <w:sz w:val="18"/>
                <w:szCs w:val="18"/>
              </w:rPr>
            </w:pPr>
            <w:r>
              <w:rPr>
                <w:rFonts w:ascii="Times New Roman" w:hAnsi="宋体"/>
                <w:color w:val="000000"/>
                <w:sz w:val="18"/>
                <w:szCs w:val="18"/>
              </w:rPr>
              <w:t>总部</w:t>
            </w:r>
          </w:p>
        </w:tc>
        <w:tc>
          <w:tcPr>
            <w:tcW w:w="1560" w:type="dxa"/>
            <w:tcBorders>
              <w:top w:val="nil"/>
              <w:left w:val="nil"/>
              <w:bottom w:val="single" w:color="auto" w:sz="8" w:space="0"/>
              <w:right w:val="single" w:color="auto" w:sz="8" w:space="0"/>
            </w:tcBorders>
            <w:vAlign w:val="center"/>
          </w:tcPr>
          <w:p>
            <w:pPr>
              <w:rPr>
                <w:rFonts w:ascii="Times New Roman" w:hAnsi="Times New Roman"/>
                <w:color w:val="000000"/>
                <w:sz w:val="18"/>
                <w:szCs w:val="18"/>
              </w:rPr>
            </w:pPr>
            <w:r>
              <w:rPr>
                <w:rFonts w:ascii="Times New Roman" w:hAnsi="宋体"/>
                <w:color w:val="000000"/>
                <w:sz w:val="18"/>
                <w:szCs w:val="18"/>
              </w:rPr>
              <w:t>　</w:t>
            </w:r>
          </w:p>
        </w:tc>
        <w:tc>
          <w:tcPr>
            <w:tcW w:w="1134" w:type="dxa"/>
            <w:vMerge w:val="continue"/>
            <w:tcBorders>
              <w:top w:val="single" w:color="auto" w:sz="8" w:space="0"/>
              <w:left w:val="single" w:color="auto" w:sz="8" w:space="0"/>
              <w:bottom w:val="single" w:color="000000" w:sz="8" w:space="0"/>
              <w:right w:val="single" w:color="auto" w:sz="8" w:space="0"/>
            </w:tcBorders>
            <w:vAlign w:val="center"/>
          </w:tcPr>
          <w:p>
            <w:pPr>
              <w:rPr>
                <w:rFonts w:ascii="Times New Roman" w:hAnsi="Times New Roman"/>
                <w:color w:val="000000"/>
                <w:sz w:val="18"/>
                <w:szCs w:val="18"/>
              </w:rPr>
            </w:pP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992"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1"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Times New Roman"/>
                <w:b/>
                <w:bCs/>
                <w:color w:val="000000"/>
                <w:sz w:val="18"/>
                <w:szCs w:val="18"/>
              </w:rPr>
              <w:t>√</w:t>
            </w:r>
          </w:p>
        </w:tc>
        <w:tc>
          <w:tcPr>
            <w:tcW w:w="850" w:type="dxa"/>
            <w:tcBorders>
              <w:top w:val="nil"/>
              <w:left w:val="nil"/>
              <w:bottom w:val="single" w:color="auto" w:sz="8" w:space="0"/>
              <w:right w:val="single" w:color="auto" w:sz="8" w:space="0"/>
            </w:tcBorders>
            <w:vAlign w:val="center"/>
          </w:tcPr>
          <w:p>
            <w:pPr>
              <w:jc w:val="center"/>
              <w:rPr>
                <w:rFonts w:ascii="Times New Roman" w:hAnsi="Times New Roman"/>
                <w:b/>
                <w:bCs/>
                <w:color w:val="000000"/>
                <w:sz w:val="18"/>
                <w:szCs w:val="18"/>
              </w:rPr>
            </w:pPr>
            <w:r>
              <w:rPr>
                <w:rFonts w:ascii="Times New Roman" w:hAnsi="宋体"/>
                <w:b/>
                <w:bCs/>
                <w:color w:val="000000"/>
                <w:sz w:val="18"/>
                <w:szCs w:val="18"/>
              </w:rPr>
              <w:t>　</w:t>
            </w:r>
          </w:p>
        </w:tc>
      </w:tr>
    </w:tbl>
    <w:p>
      <w:pPr>
        <w:rPr>
          <w:rFonts w:ascii="Times New Roman" w:hAnsi="Times New Roman"/>
          <w:sz w:val="30"/>
          <w:szCs w:val="30"/>
        </w:rPr>
      </w:pPr>
    </w:p>
    <w:p>
      <w:pPr>
        <w:rPr>
          <w:rFonts w:ascii="Times New Roman" w:hAnsi="Times New Roman"/>
          <w:sz w:val="30"/>
          <w:szCs w:val="30"/>
        </w:rPr>
      </w:pPr>
    </w:p>
    <w:p>
      <w:pPr>
        <w:rPr>
          <w:rFonts w:ascii="Times New Roman" w:hAnsi="Times New Roman"/>
          <w:sz w:val="18"/>
          <w:szCs w:val="18"/>
        </w:rPr>
      </w:pPr>
      <w:r>
        <w:rPr>
          <w:rFonts w:ascii="Times New Roman" w:hAnsi="宋体"/>
          <w:sz w:val="18"/>
          <w:szCs w:val="18"/>
        </w:rPr>
        <w:t>表格说明：</w:t>
      </w:r>
    </w:p>
    <w:p>
      <w:pPr>
        <w:ind w:firstLine="420" w:firstLineChars="200"/>
        <w:rPr>
          <w:rFonts w:ascii="Times New Roman" w:hAnsi="Times New Roman"/>
          <w:szCs w:val="21"/>
        </w:rPr>
      </w:pPr>
      <w:r>
        <w:rPr>
          <w:rFonts w:ascii="Times New Roman" w:hAnsi="Times New Roman"/>
          <w:szCs w:val="21"/>
        </w:rPr>
        <w:t>1</w:t>
      </w:r>
      <w:r>
        <w:rPr>
          <w:rFonts w:ascii="Times New Roman" w:hAnsi="宋体"/>
          <w:szCs w:val="21"/>
        </w:rPr>
        <w:t>、权限金额以单一项目结算总额计算，单一项目不得拆分多次审批；</w:t>
      </w:r>
    </w:p>
    <w:p>
      <w:pPr>
        <w:ind w:firstLine="420" w:firstLineChars="200"/>
        <w:rPr>
          <w:rFonts w:ascii="Times New Roman" w:hAnsi="Times New Roman"/>
          <w:szCs w:val="21"/>
        </w:rPr>
      </w:pPr>
      <w:r>
        <w:rPr>
          <w:rFonts w:ascii="Times New Roman" w:hAnsi="Times New Roman"/>
          <w:szCs w:val="21"/>
        </w:rPr>
        <w:t>2</w:t>
      </w:r>
      <w:r>
        <w:rPr>
          <w:rFonts w:ascii="Times New Roman" w:hAnsi="宋体"/>
          <w:szCs w:val="21"/>
        </w:rPr>
        <w:t>、所有款项支出均需由经办人制单，各级审核人对业务的真实性、合理性、合规性审核，财务对票据合规性、合理性、资料完整性以及预算执行是否超支进行复核，审批人参考审核意见进行批准；</w:t>
      </w:r>
    </w:p>
    <w:p>
      <w:pPr>
        <w:ind w:firstLine="420" w:firstLineChars="200"/>
        <w:rPr>
          <w:rFonts w:ascii="Times New Roman" w:hAnsi="Times New Roman"/>
          <w:szCs w:val="21"/>
        </w:rPr>
      </w:pPr>
      <w:r>
        <w:rPr>
          <w:rFonts w:ascii="Times New Roman" w:hAnsi="Times New Roman"/>
          <w:szCs w:val="21"/>
        </w:rPr>
        <w:t>3</w:t>
      </w:r>
      <w:r>
        <w:rPr>
          <w:rFonts w:ascii="Times New Roman" w:hAnsi="宋体"/>
          <w:szCs w:val="21"/>
        </w:rPr>
        <w:t>、本人不得审核自己的业务单据，包括授意下属以其名义报销业务单据</w:t>
      </w:r>
      <w:r>
        <w:rPr>
          <w:rFonts w:ascii="Times New Roman" w:hAnsi="Times New Roman"/>
          <w:szCs w:val="21"/>
        </w:rPr>
        <w:t>;</w:t>
      </w:r>
    </w:p>
    <w:p>
      <w:pPr>
        <w:ind w:firstLine="420" w:firstLineChars="200"/>
        <w:rPr>
          <w:rFonts w:ascii="Times New Roman" w:hAnsi="Times New Roman"/>
          <w:szCs w:val="21"/>
        </w:rPr>
      </w:pPr>
      <w:r>
        <w:rPr>
          <w:rFonts w:ascii="Times New Roman" w:hAnsi="Times New Roman"/>
          <w:szCs w:val="21"/>
        </w:rPr>
        <w:t>4</w:t>
      </w:r>
      <w:r>
        <w:rPr>
          <w:rFonts w:ascii="Times New Roman" w:hAnsi="宋体"/>
          <w:szCs w:val="21"/>
        </w:rPr>
        <w:t>、除差旅费外</w:t>
      </w:r>
      <w:r>
        <w:rPr>
          <w:rFonts w:ascii="Times New Roman" w:hAnsi="Times New Roman"/>
          <w:szCs w:val="21"/>
        </w:rPr>
        <w:t>1000</w:t>
      </w:r>
      <w:r>
        <w:rPr>
          <w:rFonts w:ascii="Times New Roman" w:hAnsi="宋体"/>
          <w:szCs w:val="21"/>
        </w:rPr>
        <w:t>元以上的支出原则上需通过银行转账支付；</w:t>
      </w:r>
    </w:p>
    <w:p>
      <w:pPr>
        <w:ind w:firstLine="420" w:firstLineChars="200"/>
        <w:rPr>
          <w:rFonts w:ascii="Times New Roman" w:hAnsi="Times New Roman"/>
          <w:szCs w:val="21"/>
        </w:rPr>
      </w:pPr>
      <w:r>
        <w:rPr>
          <w:rFonts w:ascii="Times New Roman" w:hAnsi="Times New Roman"/>
          <w:szCs w:val="21"/>
        </w:rPr>
        <w:t>5</w:t>
      </w:r>
      <w:r>
        <w:rPr>
          <w:rFonts w:ascii="Times New Roman" w:hAnsi="宋体"/>
          <w:szCs w:val="21"/>
        </w:rPr>
        <w:t>、各级审批人员对不负责任的审批或造成公司损失的审批负有赔偿责任；</w:t>
      </w:r>
    </w:p>
    <w:p>
      <w:pPr>
        <w:ind w:firstLine="420" w:firstLineChars="200"/>
        <w:rPr>
          <w:rFonts w:ascii="Times New Roman" w:hAnsi="Times New Roman"/>
          <w:szCs w:val="21"/>
        </w:rPr>
      </w:pPr>
      <w:r>
        <w:rPr>
          <w:rFonts w:ascii="Times New Roman" w:hAnsi="Times New Roman"/>
          <w:szCs w:val="21"/>
        </w:rPr>
        <w:t>6</w:t>
      </w:r>
      <w:r>
        <w:rPr>
          <w:rFonts w:ascii="Times New Roman" w:hAnsi="宋体"/>
          <w:szCs w:val="21"/>
        </w:rPr>
        <w:t>、公司授权审计人员对公司所有资金审批项目有权进行事后检查，对不负责任的审批提出处理意见，对经常性违规者任职具有一票否决权；</w:t>
      </w:r>
    </w:p>
    <w:p>
      <w:pPr>
        <w:ind w:firstLine="420" w:firstLineChars="200"/>
        <w:rPr>
          <w:rFonts w:ascii="Times New Roman" w:hAnsi="Times New Roman"/>
          <w:szCs w:val="21"/>
        </w:rPr>
      </w:pPr>
      <w:r>
        <w:rPr>
          <w:rFonts w:ascii="Times New Roman" w:hAnsi="Times New Roman"/>
          <w:szCs w:val="21"/>
        </w:rPr>
        <w:t>7</w:t>
      </w:r>
      <w:r>
        <w:rPr>
          <w:rFonts w:ascii="Times New Roman" w:hAnsi="宋体"/>
          <w:szCs w:val="21"/>
        </w:rPr>
        <w:t>、若同一份单据上涉及多个资金支出项目，则由对应审批权限要求最高的一级领导审批；</w:t>
      </w:r>
    </w:p>
    <w:p>
      <w:pPr>
        <w:ind w:firstLine="420" w:firstLineChars="200"/>
        <w:rPr>
          <w:rFonts w:ascii="Times New Roman" w:hAnsi="Times New Roman"/>
          <w:szCs w:val="21"/>
        </w:rPr>
      </w:pPr>
      <w:r>
        <w:rPr>
          <w:rFonts w:ascii="Times New Roman" w:hAnsi="Times New Roman"/>
          <w:szCs w:val="21"/>
        </w:rPr>
        <w:t>8</w:t>
      </w:r>
      <w:r>
        <w:rPr>
          <w:rFonts w:ascii="Times New Roman" w:hAnsi="宋体"/>
          <w:szCs w:val="21"/>
        </w:rPr>
        <w:t>、对于银行代扣款事项，由财务部制作单据交业务部门相关领导审批，业务部门必须配合取得发票，否则财务部有权改为报销转账方式；</w:t>
      </w:r>
    </w:p>
    <w:p>
      <w:pPr>
        <w:ind w:firstLine="420" w:firstLineChars="200"/>
        <w:rPr>
          <w:rFonts w:ascii="Times New Roman" w:hAnsi="Times New Roman"/>
          <w:szCs w:val="21"/>
        </w:rPr>
      </w:pPr>
      <w:r>
        <w:rPr>
          <w:rFonts w:ascii="Times New Roman" w:hAnsi="Times New Roman"/>
          <w:szCs w:val="21"/>
        </w:rPr>
        <w:t>9</w:t>
      </w:r>
      <w:r>
        <w:rPr>
          <w:rFonts w:ascii="Times New Roman" w:hAnsi="宋体"/>
          <w:szCs w:val="21"/>
        </w:rPr>
        <w:t>、未列举到的费用，参照同类费用进行；</w:t>
      </w:r>
    </w:p>
    <w:p>
      <w:pPr>
        <w:ind w:firstLine="420" w:firstLineChars="200"/>
        <w:rPr>
          <w:rFonts w:ascii="Times New Roman" w:hAnsi="Times New Roman"/>
          <w:szCs w:val="21"/>
        </w:rPr>
      </w:pPr>
      <w:r>
        <w:rPr>
          <w:rFonts w:ascii="Times New Roman" w:hAnsi="Times New Roman"/>
          <w:szCs w:val="21"/>
        </w:rPr>
        <w:t>10</w:t>
      </w:r>
      <w:r>
        <w:rPr>
          <w:rFonts w:ascii="Times New Roman" w:hAnsi="宋体"/>
          <w:szCs w:val="21"/>
        </w:rPr>
        <w:t>、会签阶段</w:t>
      </w:r>
      <w:r>
        <w:rPr>
          <w:rFonts w:ascii="Times New Roman" w:hAnsi="Times New Roman"/>
          <w:szCs w:val="21"/>
        </w:rPr>
        <w:t>:</w:t>
      </w:r>
      <w:r>
        <w:rPr>
          <w:rFonts w:ascii="Times New Roman" w:hAnsi="宋体"/>
          <w:szCs w:val="21"/>
        </w:rPr>
        <w:t>各部门由部门负责人会签；审批阶段</w:t>
      </w:r>
      <w:r>
        <w:rPr>
          <w:rFonts w:ascii="Times New Roman" w:hAnsi="Times New Roman"/>
          <w:szCs w:val="21"/>
        </w:rPr>
        <w:t>:</w:t>
      </w:r>
      <w:r>
        <w:rPr>
          <w:rFonts w:ascii="Times New Roman" w:hAnsi="宋体"/>
          <w:szCs w:val="21"/>
        </w:rPr>
        <w:t>同一级别的，以最高职位为准；执行部门属会签部门的，以执行部门为准，若此职位暂无的，不需审批。</w:t>
      </w:r>
    </w:p>
    <w:p>
      <w:pPr>
        <w:ind w:firstLine="600" w:firstLineChars="200"/>
        <w:rPr>
          <w:rFonts w:ascii="Times New Roman" w:hAnsi="Times New Roman"/>
          <w:sz w:val="30"/>
          <w:szCs w:val="30"/>
        </w:rPr>
        <w:sectPr>
          <w:pgSz w:w="16838" w:h="11906" w:orient="landscape"/>
          <w:pgMar w:top="1440" w:right="1265" w:bottom="1106" w:left="1091" w:header="468" w:footer="497" w:gutter="0"/>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隶书">
    <w:altName w:val="微软雅黑"/>
    <w:panose1 w:val="02010509060101010101"/>
    <w:charset w:val="86"/>
    <w:family w:val="modern"/>
    <w:pitch w:val="default"/>
    <w:sig w:usb0="00000000" w:usb1="00000000" w:usb2="00000010" w:usb3="00000000" w:csb0="00040000"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b/>
        <w:sz w:val="24"/>
        <w:szCs w:val="24"/>
      </w:rPr>
    </w:pPr>
    <w:r>
      <w:rPr>
        <w:rFonts w:hint="eastAsia"/>
        <w:lang w:val="zh-CN"/>
      </w:rPr>
      <w:t>第</w:t>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61</w:t>
    </w:r>
    <w:r>
      <w:rPr>
        <w:b/>
        <w:sz w:val="24"/>
        <w:szCs w:val="24"/>
      </w:rPr>
      <w:fldChar w:fldCharType="end"/>
    </w:r>
    <w:r>
      <w:rPr>
        <w:rFonts w:hint="eastAsia"/>
        <w:lang w:val="zh-CN"/>
      </w:rPr>
      <w:t>页共</w:t>
    </w:r>
    <w:r>
      <w:rPr>
        <w:rFonts w:hint="eastAsia"/>
        <w:b/>
        <w:sz w:val="24"/>
        <w:szCs w:val="24"/>
      </w:rPr>
      <w:fldChar w:fldCharType="begin"/>
    </w:r>
    <w:r>
      <w:rPr>
        <w:b/>
      </w:rPr>
      <w:instrText xml:space="preserve">NUMPAGES</w:instrText>
    </w:r>
    <w:r>
      <w:rPr>
        <w:b/>
        <w:sz w:val="24"/>
        <w:szCs w:val="24"/>
      </w:rPr>
      <w:fldChar w:fldCharType="separate"/>
    </w:r>
    <w:r>
      <w:rPr>
        <w:b/>
      </w:rPr>
      <w:t>90</w:t>
    </w:r>
    <w:r>
      <w:rPr>
        <w:b/>
        <w:sz w:val="24"/>
        <w:szCs w:val="24"/>
      </w:rPr>
      <w:fldChar w:fldCharType="end"/>
    </w:r>
    <w:r>
      <w:rPr>
        <w:rFonts w:hint="eastAsia"/>
        <w:lang w:val="zh-CN"/>
      </w:rPr>
      <w:t>页</w:t>
    </w:r>
  </w:p>
  <w:p>
    <w:pPr>
      <w:pStyle w:val="3"/>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lang w:val="zh-CN"/>
      </w:rPr>
      <w:t>第</w:t>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64</w:t>
    </w:r>
    <w:r>
      <w:rPr>
        <w:b/>
        <w:sz w:val="24"/>
        <w:szCs w:val="24"/>
      </w:rPr>
      <w:fldChar w:fldCharType="end"/>
    </w:r>
    <w:r>
      <w:rPr>
        <w:rFonts w:hint="eastAsia"/>
        <w:b/>
        <w:sz w:val="24"/>
        <w:szCs w:val="24"/>
      </w:rPr>
      <w:t>页</w:t>
    </w:r>
    <w:r>
      <w:rPr>
        <w:lang w:val="zh-CN"/>
      </w:rPr>
      <w:t xml:space="preserve"> </w:t>
    </w:r>
    <w:r>
      <w:rPr>
        <w:rFonts w:hint="eastAsia"/>
        <w:lang w:val="zh-CN"/>
      </w:rPr>
      <w:t>共</w:t>
    </w:r>
    <w:r>
      <w:rPr>
        <w:lang w:val="zh-CN"/>
      </w:rPr>
      <w:t xml:space="preserve"> </w:t>
    </w:r>
    <w:r>
      <w:rPr>
        <w:b/>
        <w:sz w:val="24"/>
        <w:szCs w:val="24"/>
      </w:rPr>
      <w:fldChar w:fldCharType="begin"/>
    </w:r>
    <w:r>
      <w:rPr>
        <w:b/>
      </w:rPr>
      <w:instrText xml:space="preserve">NUMPAGES</w:instrText>
    </w:r>
    <w:r>
      <w:rPr>
        <w:b/>
        <w:sz w:val="24"/>
        <w:szCs w:val="24"/>
      </w:rPr>
      <w:fldChar w:fldCharType="separate"/>
    </w:r>
    <w:r>
      <w:rPr>
        <w:b/>
      </w:rPr>
      <w:t>78</w:t>
    </w:r>
    <w:r>
      <w:rPr>
        <w:b/>
        <w:sz w:val="24"/>
        <w:szCs w:val="24"/>
      </w:rPr>
      <w:fldChar w:fldCharType="end"/>
    </w:r>
    <w:r>
      <w:rPr>
        <w:rFonts w:hint="eastAsia"/>
        <w:b/>
        <w:sz w:val="24"/>
        <w:szCs w:val="24"/>
      </w:rPr>
      <w:t>页</w:t>
    </w:r>
  </w:p>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中铁建（北京）物业管理有限公司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653EBB"/>
    <w:multiLevelType w:val="multilevel"/>
    <w:tmpl w:val="7E653EBB"/>
    <w:lvl w:ilvl="0" w:tentative="0">
      <w:start w:val="1"/>
      <w:numFmt w:val="chineseCountingThousand"/>
      <w:lvlText w:val="第%1条"/>
      <w:lvlJc w:val="left"/>
      <w:pPr>
        <w:ind w:left="1002" w:hanging="420"/>
      </w:pPr>
      <w:rPr>
        <w:rFonts w:hint="eastAsia"/>
        <w:b/>
      </w:rPr>
    </w:lvl>
    <w:lvl w:ilvl="1" w:tentative="0">
      <w:start w:val="1"/>
      <w:numFmt w:val="lowerLetter"/>
      <w:lvlText w:val="%2)"/>
      <w:lvlJc w:val="left"/>
      <w:pPr>
        <w:ind w:left="1422" w:hanging="420"/>
      </w:pPr>
    </w:lvl>
    <w:lvl w:ilvl="2" w:tentative="0">
      <w:start w:val="1"/>
      <w:numFmt w:val="lowerRoman"/>
      <w:lvlText w:val="%3."/>
      <w:lvlJc w:val="right"/>
      <w:pPr>
        <w:ind w:left="1842" w:hanging="420"/>
      </w:pPr>
    </w:lvl>
    <w:lvl w:ilvl="3" w:tentative="0">
      <w:start w:val="1"/>
      <w:numFmt w:val="decimal"/>
      <w:lvlText w:val="%4."/>
      <w:lvlJc w:val="left"/>
      <w:pPr>
        <w:ind w:left="2262" w:hanging="420"/>
      </w:pPr>
    </w:lvl>
    <w:lvl w:ilvl="4" w:tentative="0">
      <w:start w:val="1"/>
      <w:numFmt w:val="lowerLetter"/>
      <w:lvlText w:val="%5)"/>
      <w:lvlJc w:val="left"/>
      <w:pPr>
        <w:ind w:left="2682" w:hanging="420"/>
      </w:pPr>
    </w:lvl>
    <w:lvl w:ilvl="5" w:tentative="0">
      <w:start w:val="1"/>
      <w:numFmt w:val="lowerRoman"/>
      <w:lvlText w:val="%6."/>
      <w:lvlJc w:val="right"/>
      <w:pPr>
        <w:ind w:left="3102" w:hanging="420"/>
      </w:pPr>
    </w:lvl>
    <w:lvl w:ilvl="6" w:tentative="0">
      <w:start w:val="1"/>
      <w:numFmt w:val="decimal"/>
      <w:lvlText w:val="%7."/>
      <w:lvlJc w:val="left"/>
      <w:pPr>
        <w:ind w:left="3522" w:hanging="420"/>
      </w:pPr>
    </w:lvl>
    <w:lvl w:ilvl="7" w:tentative="0">
      <w:start w:val="1"/>
      <w:numFmt w:val="lowerLetter"/>
      <w:lvlText w:val="%8)"/>
      <w:lvlJc w:val="left"/>
      <w:pPr>
        <w:ind w:left="3942" w:hanging="420"/>
      </w:pPr>
    </w:lvl>
    <w:lvl w:ilvl="8" w:tentative="0">
      <w:start w:val="1"/>
      <w:numFmt w:val="lowerRoman"/>
      <w:lvlText w:val="%9."/>
      <w:lvlJc w:val="right"/>
      <w:pPr>
        <w:ind w:left="43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9193B"/>
    <w:rsid w:val="0C29193B"/>
    <w:rsid w:val="180A7A3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rFonts w:ascii="Times New Roman" w:hAnsi="Times New Roman"/>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
    <w:name w:val="正文缩进1"/>
    <w:basedOn w:val="1"/>
    <w:qFormat/>
    <w:uiPriority w:val="0"/>
    <w:pPr>
      <w:ind w:firstLine="420"/>
    </w:pPr>
    <w:rPr>
      <w:rFonts w:ascii="Times New Roman" w:hAnsi="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2017-11-07T09:24:00Z</dcterms:created>
  <dc:creator>钟瑶</dc:creator>
  <cp:lastModifiedBy>钟瑶</cp:lastModifiedBy>
  <dcterms:modified xsi:type="dcterms:W3CDTF">2017-11-07T09:26:47Z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